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5" w:lineRule="auto"/>
        <w:jc w:val="left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bookmarkStart w:id="0" w:name="_Toc365388841"/>
      <w:bookmarkStart w:id="1" w:name="_Toc371601709"/>
      <w:r>
        <w:rPr>
          <w:rFonts w:ascii="仿宋" w:eastAsia="仿宋" w:cs="仿宋"/>
          <w:sz w:val="32"/>
          <w:szCs w:val="32"/>
          <w:lang w:val="en-US" w:eastAsia="zh-CN"/>
        </w:rPr>
        <w:t>附件2</w:t>
      </w:r>
      <w:bookmarkStart w:id="2" w:name="_GoBack"/>
      <w:bookmarkEnd w:id="2"/>
      <w:r>
        <w:rPr>
          <w:rFonts w:ascii="仿宋" w:eastAsia="仿宋" w:cs="仿宋"/>
          <w:sz w:val="32"/>
          <w:szCs w:val="32"/>
          <w:lang w:val="en-US"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5" w:lineRule="auto"/>
        <w:jc w:val="center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实训综合楼六、七层行政办公室维修改造项目现场施工招标采购评标办法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5" w:lineRule="auto"/>
        <w:jc w:val="center"/>
        <w:textAlignment w:val="auto"/>
        <w:rPr>
          <w:rFonts w:ascii="仿宋" w:eastAsia="仿宋" w:cs="仿宋"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lang w:eastAsia="zh-CN"/>
        </w:rPr>
      </w:pPr>
      <w:bookmarkEnd w:id="0"/>
      <w:bookmarkEnd w:id="1"/>
      <w:r>
        <w:rPr>
          <w:rFonts w:hint="eastAsia"/>
          <w:b/>
        </w:rPr>
        <w:t>符合性评审的内容</w:t>
      </w:r>
      <w:r>
        <w:rPr>
          <w:rFonts w:hint="eastAsia"/>
          <w:b/>
          <w:lang w:eastAsia="zh-CN"/>
        </w:rPr>
        <w:t>：</w:t>
      </w:r>
    </w:p>
    <w:tbl>
      <w:tblPr>
        <w:tblpPr w:leftFromText="180" w:rightFromText="180" w:vertAnchor="text" w:horzAnchor="page" w:tblpX="2155" w:tblpY="254"/>
        <w:tblOverlap w:val="never"/>
        <w:tblW w:w="403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231"/>
        <w:gridCol w:w="3049"/>
        <w:gridCol w:w="5323"/>
      </w:tblGrid>
      <w:tr>
        <w:trPr>
          <w:trHeight w:hRule="exact" w:val="340"/>
        </w:trPr>
        <w:tc>
          <w:tcPr>
            <w:tcW w:w="28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b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评审项目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236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评审参照标准</w:t>
            </w:r>
          </w:p>
        </w:tc>
      </w:tr>
      <w:tr>
        <w:trPr>
          <w:trHeight w:hRule="exact" w:val="570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形式评审标准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00" w:firstLine="18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与营业执照、资质证书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的名称均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一致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投标函签字盖章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有法定代表人或其委托代理人签字或加盖单位章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投标文件格式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邀请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函内容及格式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要求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报价唯一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只能有一个有效报价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投标书封装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 w:eastAsia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符合询价邀请函的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封装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</w:tr>
      <w:tr>
        <w:trPr>
          <w:trHeight w:hRule="exact" w:val="488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资格评审标准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Arial Unicode MS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联合体投标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 w:cs="Arial Unicode MS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57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int="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资质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证书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类似项目业绩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信誉要求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45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缴纳税收和社会保障资金的记录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</w:tr>
      <w:tr>
        <w:trPr>
          <w:trHeight w:hRule="exact" w:val="40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响应性评审标准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工程</w:t>
            </w:r>
            <w:r>
              <w:rPr>
                <w:rFonts w:ascii="宋体" w:cs="Times New Roman" w:hint="eastAsia"/>
                <w:sz w:val="18"/>
                <w:szCs w:val="18"/>
              </w:rPr>
              <w:t>价款及支付方式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附件1.工程施工合同第三条的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工期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附件1.工程施工合同第四条的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</w:tr>
      <w:tr>
        <w:trPr>
          <w:trHeight w:hRule="exact" w:val="340"/>
        </w:trPr>
        <w:tc>
          <w:tcPr>
            <w:tcW w:w="2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left"/>
              <w:rPr>
                <w:rFonts w:ascii="宋体" w:cs="Times New Roman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缺陷责任期及保修期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附件1.工程施工合同第九条的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b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评标得分计算及权值表</w:t>
      </w:r>
    </w:p>
    <w:tbl>
      <w:tblPr>
        <w:tblpPr w:leftFromText="180" w:rightFromText="180" w:vertAnchor="text" w:horzAnchor="page" w:tblpX="1940" w:tblpY="829"/>
        <w:tblOverlap w:val="never"/>
        <w:tblW w:w="13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18"/>
        <w:gridCol w:w="7980"/>
        <w:gridCol w:w="1250"/>
        <w:gridCol w:w="1430"/>
      </w:tblGrid>
      <w:tr>
        <w:trPr>
          <w:trHeight w:val="415"/>
        </w:trPr>
        <w:tc>
          <w:tcPr>
            <w:tcW w:w="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分数代码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评审得分标准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备注</w:t>
            </w:r>
          </w:p>
        </w:tc>
      </w:tr>
      <w:tr>
        <w:trPr>
          <w:trHeight w:val="431"/>
        </w:trPr>
        <w:tc>
          <w:tcPr>
            <w:tcW w:w="94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类似业绩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投标人至少提供一个装饰装修或建筑施工类的承包合同，单个合同金额不少于95万元。每多提供一个类似业绩合同得2分，此项满分10分。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10%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rPr>
          <w:trHeight w:val="269"/>
        </w:trPr>
        <w:tc>
          <w:tcPr>
            <w:tcW w:w="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施工组织设计（施工方案）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施工组织设计（施工方案）评审为一般得5分，合格得10分，优秀得20分。此项满分20分。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/>
        </w:tc>
      </w:tr>
      <w:tr>
        <w:trPr>
          <w:trHeight w:val="269"/>
        </w:trPr>
        <w:tc>
          <w:tcPr>
            <w:tcW w:w="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投标报价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将所有投标人得投标报价从低到高排序，最低报价得70分，第二名得60分，第三名得50分，以此类推。此项满分70分。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/>
        </w:tc>
      </w:tr>
    </w:tbl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firstLineChars="100" w:firstLine="21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三、评标评审表</w:t>
      </w:r>
    </w:p>
    <w:p>
      <w:pPr>
        <w:ind w:left="210" w:firstLineChars="1000" w:firstLine="2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left="210" w:firstLineChars="1000" w:firstLine="2800"/>
        <w:rPr>
          <w:lang w:val="en-US" w:eastAsia="zh-CN"/>
        </w:rPr>
      </w:pPr>
      <w:r>
        <w:rPr>
          <w:rFonts w:ascii="仿宋" w:eastAsia="仿宋" w:cs="仿宋" w:hint="eastAsia"/>
          <w:b/>
          <w:bCs/>
          <w:sz w:val="28"/>
          <w:szCs w:val="28"/>
          <w:lang w:val="en-US" w:eastAsia="zh-CN"/>
        </w:rPr>
        <w:t>实训综合楼六、七层行政办公室维修改造项目现场施工询价符合性评审表</w:t>
      </w:r>
    </w:p>
    <w:tbl>
      <w:tblPr>
        <w:jc w:val="left"/>
        <w:tblInd w:w="0" w:type="dxa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474"/>
        <w:gridCol w:w="2702"/>
        <w:gridCol w:w="4338"/>
        <w:gridCol w:w="1119"/>
        <w:gridCol w:w="1130"/>
        <w:gridCol w:w="1281"/>
        <w:gridCol w:w="1278"/>
      </w:tblGrid>
      <w:tr>
        <w:trPr>
          <w:trHeight w:hRule="exact" w:val="465"/>
        </w:trPr>
        <w:tc>
          <w:tcPr>
            <w:tcW w:w="2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b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评审项目</w:t>
            </w:r>
          </w:p>
        </w:tc>
        <w:tc>
          <w:tcPr>
            <w:tcW w:w="96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  <w:t>评审参照标准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/>
                <w:b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  <w:lang w:val="en-US" w:eastAsia="zh-CN"/>
              </w:rPr>
              <w:t>投标人1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  <w:lang w:val="en-US" w:eastAsia="zh-CN"/>
              </w:rPr>
              <w:t>投标人2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  <w:lang w:val="en-US" w:eastAsia="zh-CN"/>
              </w:rPr>
              <w:t>投标人3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int="eastAsia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18"/>
                <w:szCs w:val="18"/>
                <w:lang w:val="en-US" w:eastAsia="zh-CN"/>
              </w:rPr>
              <w:t>投标人4</w:t>
            </w:r>
          </w:p>
        </w:tc>
      </w:tr>
      <w:tr>
        <w:trPr>
          <w:trHeight w:hRule="exact" w:val="340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形式评审标准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与营业执照、资质证书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的名称均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一致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投标函签字盖章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有法定代表人或其委托代理人签字或加盖单位章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投标文件格式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邀请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函内容及格式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报价唯一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只能有一个有效报价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投标书封装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eastAsia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符合询价邀请函的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</w:rPr>
              <w:t>封装</w:t>
            </w:r>
            <w:r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hint="eastAsia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hRule="exact" w:val="488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资格评审标准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Arial Unicode MS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联合体投标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43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int="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资质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证书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类似项目业绩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信誉要求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45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缴纳税收和社会保障资金的记录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符合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val="en-US" w:eastAsia="zh-CN"/>
              </w:rPr>
              <w:t>询价邀请函“二、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供应商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资格要求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</w:pPr>
          </w:p>
        </w:tc>
      </w:tr>
      <w:tr>
        <w:trPr>
          <w:trHeight w:hRule="exact" w:val="40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cs="Arial Unicode MS" w:hint="eastAsia"/>
                <w:snapToGrid w:val="0"/>
                <w:kern w:val="0"/>
                <w:sz w:val="18"/>
                <w:szCs w:val="18"/>
              </w:rPr>
              <w:t>响应性评审标准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工程</w:t>
            </w:r>
            <w:r>
              <w:rPr>
                <w:rFonts w:ascii="宋体" w:cs="Times New Roman" w:hint="eastAsia"/>
                <w:sz w:val="18"/>
                <w:szCs w:val="18"/>
              </w:rPr>
              <w:t>价款及支付方式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附件1.工程施工合同第三条的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工期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附件1.工程施工合同第四条的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</w:tr>
      <w:tr>
        <w:trPr>
          <w:trHeight w:hRule="exact" w:val="340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jc w:val="center"/>
              <w:rPr>
                <w:rFonts w:ascii="宋体" w:cs="Times New Roman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缺陷责任期及保修期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符合</w:t>
            </w:r>
            <w:r>
              <w:rPr>
                <w:rFonts w:ascii="宋体" w:cs="Times New Roman" w:hint="eastAsia"/>
                <w:sz w:val="18"/>
                <w:szCs w:val="18"/>
                <w:lang w:val="en-US" w:eastAsia="zh-CN"/>
              </w:rPr>
              <w:t>附件1.工程施工合同第九条的</w:t>
            </w:r>
            <w:r>
              <w:rPr>
                <w:rFonts w:ascii="宋体" w:cs="Times New Roman" w:hint="eastAsia"/>
                <w:sz w:val="18"/>
                <w:szCs w:val="18"/>
              </w:rPr>
              <w:t>规定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150" w:firstLine="270"/>
              <w:rPr>
                <w:rFonts w:ascii="宋体" w:cs="Times New Roman" w:hint="eastAsia"/>
                <w:sz w:val="18"/>
                <w:szCs w:val="18"/>
              </w:rPr>
            </w:pPr>
          </w:p>
        </w:tc>
      </w:tr>
    </w:tbl>
    <w:p>
      <w:pPr>
        <w:ind w:left="2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注：根据投标人应答情况进行符合性评审，符合询价邀请函要求的，在相应评审内容栏打“</w:t>
      </w:r>
      <w:r>
        <w:rPr>
          <w:rFonts w:ascii="Arial" w:cs="Arial" w:hAnsi="Arial"/>
          <w:lang w:val="en-US" w:eastAsia="zh-CN"/>
        </w:rPr>
        <w:t>√</w:t>
      </w:r>
      <w:r>
        <w:rPr>
          <w:rFonts w:hint="eastAsia"/>
          <w:lang w:val="en-US" w:eastAsia="zh-CN"/>
        </w:rPr>
        <w:t>”，不符合要求的打“</w:t>
      </w:r>
      <w:r>
        <w:rPr>
          <w:rFonts w:ascii="Arial" w:cs="Arial" w:hAnsi="Arial"/>
          <w:lang w:val="en-US" w:eastAsia="zh-CN"/>
        </w:rPr>
        <w:t>×</w:t>
      </w:r>
      <w:r>
        <w:rPr>
          <w:rFonts w:hint="eastAsia"/>
          <w:lang w:val="en-US" w:eastAsia="zh-CN"/>
        </w:rPr>
        <w:t>”。只要有一项不符合要求，则按废标处理。</w:t>
      </w:r>
    </w:p>
    <w:p>
      <w:pPr>
        <w:ind w:left="210"/>
        <w:rPr>
          <w:rFonts w:hint="eastAsia"/>
          <w:b/>
          <w:bCs/>
          <w:lang w:val="en-US" w:eastAsia="zh-CN"/>
        </w:rPr>
      </w:pPr>
    </w:p>
    <w:p>
      <w:pPr>
        <w:ind w:left="21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评审小组成员签字：</w:t>
      </w:r>
    </w:p>
    <w:p>
      <w:pPr>
        <w:ind w:left="210"/>
        <w:rPr>
          <w:rFonts w:hint="eastAsia"/>
          <w:b/>
          <w:bCs/>
          <w:lang w:val="en-US" w:eastAsia="zh-CN"/>
        </w:rPr>
      </w:pPr>
    </w:p>
    <w:p>
      <w:pPr>
        <w:ind w:left="210"/>
        <w:rPr>
          <w:rFonts w:hint="eastAsia"/>
          <w:b/>
          <w:bCs/>
          <w:lang w:val="en-US" w:eastAsia="zh-CN"/>
        </w:rPr>
      </w:pPr>
    </w:p>
    <w:p>
      <w:pPr>
        <w:ind w:left="210" w:firstLineChars="4900" w:firstLine="10290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评审日期：2022年   月   日</w:t>
      </w:r>
    </w:p>
    <w:p>
      <w:pPr>
        <w:ind w:left="210"/>
        <w:rPr>
          <w:rFonts w:hint="eastAsia"/>
          <w:b/>
          <w:bCs/>
          <w:lang w:val="en-US" w:eastAsia="zh-CN"/>
        </w:rPr>
      </w:pPr>
    </w:p>
    <w:tbl>
      <w:tblPr>
        <w:tblpPr w:leftFromText="180" w:rightFromText="180" w:vertAnchor="text" w:horzAnchor="page" w:tblpX="1940" w:tblpY="829"/>
        <w:tblOverlap w:val="never"/>
        <w:tblW w:w="1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77"/>
        <w:gridCol w:w="5410"/>
        <w:gridCol w:w="1000"/>
        <w:gridCol w:w="1050"/>
        <w:gridCol w:w="1100"/>
        <w:gridCol w:w="1140"/>
        <w:gridCol w:w="1210"/>
      </w:tblGrid>
      <w:tr>
        <w:trPr>
          <w:trHeight w:val="415"/>
        </w:trPr>
        <w:tc>
          <w:tcPr>
            <w:tcW w:w="8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分数代码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评审得分标准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权重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投标人1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投标人2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投标人3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投标人4</w:t>
            </w:r>
          </w:p>
        </w:tc>
      </w:tr>
      <w:tr>
        <w:trPr>
          <w:trHeight w:val="431"/>
        </w:trPr>
        <w:tc>
          <w:tcPr>
            <w:tcW w:w="88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类似业绩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投标人至少提供一个装饰装修或建筑施工类的承包合同，单个合同金额不少于95万元。每多提供一个类似业绩合同得2分，此项满分10分。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>
        <w:trPr>
          <w:trHeight w:val="269"/>
        </w:trPr>
        <w:tc>
          <w:tcPr>
            <w:tcW w:w="8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施工组织设计（施工方案）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施工组织设计（施工方案）评审为一般得5分，合格得10分，优秀得20分。此项满分20分。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269"/>
        </w:trPr>
        <w:tc>
          <w:tcPr>
            <w:tcW w:w="8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投标报价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将所有投标人得投标报价从低到高排序，最低报价得70分，第二名得60分，第三名得50分，以此类推。此项满分70分。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269"/>
        </w:trPr>
        <w:tc>
          <w:tcPr>
            <w:tcW w:w="8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eastAsia="宋体"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综合得分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A=A1+A2+A3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269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综合得分排名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cs="Arial"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left="210" w:firstLineChars="900" w:firstLine="2520"/>
        <w:rPr>
          <w:rFonts w:ascii="仿宋" w:eastAsia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cs="仿宋" w:hint="eastAsia"/>
          <w:b/>
          <w:bCs/>
          <w:sz w:val="28"/>
          <w:szCs w:val="28"/>
          <w:lang w:val="en-US" w:eastAsia="zh-CN"/>
        </w:rPr>
        <w:t>实训综合楼六、七层行政办公室维修改造项目现场施工询价评审打分表</w:t>
      </w:r>
    </w:p>
    <w:p>
      <w:pPr>
        <w:jc w:val="both"/>
        <w:rPr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注：</w:t>
      </w:r>
      <w:r>
        <w:rPr>
          <w:rFonts w:hint="eastAsia"/>
          <w:b w:val="0"/>
          <w:bCs w:val="0"/>
          <w:lang w:val="en-US" w:eastAsia="zh-CN"/>
        </w:rPr>
        <w:t>通过符合性评审的投标人才能列入询价评审打分阶段，评审打分按综合得分从高到低排序，排序第一名推荐为中标人，第二名为备选人，以此类推。</w:t>
      </w:r>
    </w:p>
    <w:p>
      <w:pPr>
        <w:ind w:left="0" w:firstLineChars="200" w:firstLine="42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评审小组成员签字：</w:t>
      </w: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ind w:left="210" w:firstLineChars="4900" w:firstLine="10290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评审日期：2022年   月   日</w:t>
      </w:r>
    </w:p>
    <w:sectPr>
      <w:pgSz w:w="16838" w:h="11906" w:orient="landscape"/>
      <w:pgMar w:top="1134" w:right="1440" w:bottom="113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swiss"/>
    <w:pitch w:val="variable"/>
    <w:sig w:usb0="00000000" w:usb1="00000000" w:usb2="0000003F" w:usb3="00000000" w:csb0="003F01FF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6757E40"/>
    <w:multiLevelType w:val="singleLevel"/>
    <w:tmpl w:val="56757E40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4</Pages>
  <Words>0</Words>
  <Characters>1430</Characters>
  <Lines>0</Lines>
  <Paragraphs>69</Paragraphs>
  <CharactersWithSpaces>1907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HONOR</dc:creator>
  <cp:lastModifiedBy>lenovo</cp:lastModifiedBy>
  <cp:revision>1</cp:revision>
  <dcterms:created xsi:type="dcterms:W3CDTF">2022-04-21T06:05:00Z</dcterms:created>
  <dcterms:modified xsi:type="dcterms:W3CDTF">2022-04-25T01:43:08Z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9266F8FDC8314D259C608C7789B3D6B6</vt:lpwstr>
  </property>
</Properties>
</file>